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B1B8C"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Pealkiri: </w:t>
      </w:r>
      <w:r>
        <w:rPr>
          <w:rFonts w:ascii="Cambria" w:cs="Times New Roman" w:hAnsi="Cambria"/>
          <w:color w:val="000000"/>
          <w:sz w:val="23"/>
          <w:szCs w:val="23"/>
          <w:lang w:val="et"/>
          <w:b w:val="0"/>
          <w:bCs w:val="0"/>
          <w:i w:val="0"/>
          <w:iCs w:val="0"/>
          <w:u w:val="none"/>
          <w:vertAlign w:val="baseline"/>
          <w:rtl w:val="0"/>
        </w:rPr>
        <w:t xml:space="preserve">Teabevahetuse juhtimine kriisi ajal</w:t>
      </w:r>
    </w:p>
    <w:p w14:paraId="265CAF2A"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 </w:t>
      </w:r>
    </w:p>
    <w:p w14:paraId="4CB8A7E9"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Esitaja:</w:t>
      </w:r>
      <w:r>
        <w:rPr>
          <w:rFonts w:ascii="Cambria" w:cs="Times New Roman" w:hAnsi="Cambria"/>
          <w:color w:val="000000"/>
          <w:sz w:val="23"/>
          <w:szCs w:val="23"/>
          <w:lang w:val="et"/>
          <w:b w:val="0"/>
          <w:bCs w:val="0"/>
          <w:i w:val="0"/>
          <w:iCs w:val="0"/>
          <w:u w:val="none"/>
          <w:vertAlign w:val="baseline"/>
          <w:rtl w:val="0"/>
        </w:rPr>
        <w:t xml:space="preserve"> Martina Provázková, tegevjuht, Karli ülikool, kunstide osakond</w:t>
      </w:r>
    </w:p>
    <w:p w14:paraId="630E84B0"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 </w:t>
      </w:r>
    </w:p>
    <w:p w14:paraId="45D3B04A"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 </w:t>
      </w:r>
    </w:p>
    <w:p w14:paraId="651EF267"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1"/>
          <w:bCs w:val="1"/>
          <w:i w:val="0"/>
          <w:iCs w:val="0"/>
          <w:u w:val="none"/>
          <w:vertAlign w:val="baseline"/>
          <w:rtl w:val="0"/>
        </w:rPr>
        <w:t xml:space="preserve">Resümee</w:t>
      </w:r>
    </w:p>
    <w:p w14:paraId="6F464C5B"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Kesk- ja Ida-Euroopa uuringud (ECES) on valdkondadevaheline programm Kesk-Euroopa vanima ja kõige mainekama ülikooli – Karli ülikooli kunstide osakonnas. Programmi raames pakutakse kursusi kuues akadeemilises valdkonnas nii sügis-, kevad- kui ka suvesemestril. Alates 1992. aastast on ECES pakkunud inglise keelt kõnelevatele üliõpilastele võimalust registreeruda kursustele Karli ülikoolis oma kõrghariduse esimese astme programmi osana.</w:t>
      </w:r>
    </w:p>
    <w:p w14:paraId="76EC3152" w14:textId="77777777" w:rsidR="0035604D" w:rsidRDefault="0035604D" w:rsidP="0035604D">
      <w:pPr>
        <w:pStyle w:val="NormalWeb"/>
        <w:shd w:val="clear" w:color="auto" w:fill="FFFFFF"/>
        <w:rPr>
          <w:rFonts w:ascii="Times New Roman" w:hAnsi="Times New Roman" w:cs="Times New Roman"/>
          <w:color w:val="000000"/>
          <w:sz w:val="24"/>
          <w:szCs w:val="24"/>
        </w:rPr>
        <w:bidi w:val="0"/>
      </w:pPr>
      <w:r>
        <w:rPr>
          <w:rFonts w:ascii="Cambria" w:cs="Times New Roman" w:hAnsi="Cambria"/>
          <w:color w:val="000000"/>
          <w:sz w:val="23"/>
          <w:szCs w:val="23"/>
          <w:lang w:val="et"/>
          <w:b w:val="0"/>
          <w:bCs w:val="0"/>
          <w:i w:val="0"/>
          <w:iCs w:val="0"/>
          <w:u w:val="none"/>
          <w:vertAlign w:val="baseline"/>
          <w:rtl w:val="0"/>
        </w:rPr>
        <w:t xml:space="preserve"> </w:t>
      </w:r>
    </w:p>
    <w:p w14:paraId="45F27314" w14:textId="5E2D1724" w:rsidR="00960D52" w:rsidRDefault="0035604D" w:rsidP="0035604D">
      <w:pPr>
        <w:bidi w:val="0"/>
      </w:pPr>
      <w:r>
        <w:rPr>
          <w:rFonts w:ascii="Cambria" w:cs="Times New Roman" w:hAnsi="Cambria"/>
          <w:color w:val="000000"/>
          <w:sz w:val="23"/>
          <w:szCs w:val="23"/>
          <w:lang w:val="et"/>
          <w:b w:val="0"/>
          <w:bCs w:val="0"/>
          <w:i w:val="0"/>
          <w:iCs w:val="0"/>
          <w:u w:val="none"/>
          <w:vertAlign w:val="baseline"/>
          <w:rtl w:val="0"/>
        </w:rPr>
        <w:t xml:space="preserve">Kui 100 Kesk- ja Ida-Euroopa uuringute tudengit naasis kevadsemestri keskel koroonaviiruse pandeemia tõttu USAsse, hakkas juhtkond kiirelt tegutsema ning viis peaaegu kogu programmi vaid ühe nädalaga veebi. Selleks oli vaja täiesti uut suhtlusstruktuuri, mis oli edu saavutamise alus. Ettekande jooksul saavad osalejad ülevaate tõhusatest viisidest, kuidas suhelda eri sihtrühmadega ootamatu sündmuse ajal.</w:t>
      </w:r>
    </w:p>
    <w:sectPr w:rsidR="00960D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4D"/>
    <w:rsid w:val="0035604D"/>
    <w:rsid w:val="0096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91B7"/>
  <w15:chartTrackingRefBased/>
  <w15:docId w15:val="{D19E8BC4-D1B2-40E4-8143-E840FF19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04D"/>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6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876</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1</cp:revision>
  <dcterms:created xsi:type="dcterms:W3CDTF">2020-06-25T09:26:00Z</dcterms:created>
  <dcterms:modified xsi:type="dcterms:W3CDTF">2020-06-25T09:27:00Z</dcterms:modified>
</cp:coreProperties>
</file>