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95CB" w14:textId="1065A397" w:rsidR="001A1E1E" w:rsidRDefault="004205F2" w:rsidP="006975DB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5F2">
        <w:rPr>
          <w:rFonts w:ascii="Times New Roman" w:hAnsi="Times New Roman" w:cs="Times New Roman"/>
          <w:color w:val="000000"/>
          <w:sz w:val="24"/>
          <w:szCs w:val="24"/>
        </w:rPr>
        <w:t>Жилищная мобильность новых мигрантов: Каковы схемы переезда из районов с низким уровнем доходов и сектора арендного жилья?</w:t>
      </w:r>
    </w:p>
    <w:p w14:paraId="6A78C73E" w14:textId="55CB2B98" w:rsidR="006975DB" w:rsidRDefault="006975DB" w:rsidP="006975DB">
      <w:pPr>
        <w:spacing w:after="1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На данный момент отмечается </w:t>
      </w:r>
      <w:r w:rsidR="00D5226F">
        <w:rPr>
          <w:rFonts w:ascii="Times New Roman" w:hAnsi="Times New Roman"/>
          <w:color w:val="000000"/>
          <w:sz w:val="24"/>
        </w:rPr>
        <w:t>рост</w:t>
      </w:r>
      <w:r>
        <w:rPr>
          <w:rFonts w:ascii="Times New Roman" w:hAnsi="Times New Roman"/>
          <w:color w:val="000000"/>
          <w:sz w:val="24"/>
        </w:rPr>
        <w:t xml:space="preserve"> интерес</w:t>
      </w:r>
      <w:r w:rsidR="00D5226F"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 к подробным </w:t>
      </w:r>
      <w:r w:rsidR="00767275">
        <w:rPr>
          <w:rFonts w:ascii="Times New Roman" w:hAnsi="Times New Roman"/>
          <w:color w:val="000000"/>
          <w:sz w:val="24"/>
        </w:rPr>
        <w:t xml:space="preserve">продолжительным </w:t>
      </w:r>
      <w:r>
        <w:rPr>
          <w:rFonts w:ascii="Times New Roman" w:hAnsi="Times New Roman"/>
          <w:color w:val="000000"/>
          <w:sz w:val="24"/>
        </w:rPr>
        <w:t xml:space="preserve">исследованиям, </w:t>
      </w:r>
      <w:r w:rsidR="00D5226F">
        <w:rPr>
          <w:rFonts w:ascii="Times New Roman" w:hAnsi="Times New Roman"/>
          <w:color w:val="000000"/>
          <w:sz w:val="24"/>
        </w:rPr>
        <w:t>фокусирующимся 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D5226F">
        <w:rPr>
          <w:rFonts w:ascii="Times New Roman" w:hAnsi="Times New Roman"/>
          <w:color w:val="000000"/>
          <w:sz w:val="24"/>
        </w:rPr>
        <w:t>взаимосвязи</w:t>
      </w:r>
      <w:r>
        <w:rPr>
          <w:rFonts w:ascii="Times New Roman" w:hAnsi="Times New Roman"/>
          <w:color w:val="000000"/>
          <w:sz w:val="24"/>
        </w:rPr>
        <w:t xml:space="preserve"> между </w:t>
      </w:r>
      <w:r w:rsidR="00767275">
        <w:rPr>
          <w:rFonts w:ascii="Times New Roman" w:hAnsi="Times New Roman"/>
          <w:color w:val="000000"/>
          <w:sz w:val="24"/>
        </w:rPr>
        <w:t xml:space="preserve">сменой </w:t>
      </w:r>
      <w:r>
        <w:rPr>
          <w:rFonts w:ascii="Times New Roman" w:hAnsi="Times New Roman"/>
          <w:color w:val="000000"/>
          <w:sz w:val="24"/>
        </w:rPr>
        <w:t>жилья и микрорайонов</w:t>
      </w:r>
      <w:r w:rsidR="00D5226F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для лучшего понимания путей жилой интеграции иммигрантов в принимающих обществах. Вновь прибывшие иммигранты по прибытии на новую родину, как правило, в большем числе представлены в районах с низким уровнем дохода и в арендном секторе, в то время как </w:t>
      </w:r>
      <w:r w:rsidR="0013186C">
        <w:rPr>
          <w:rFonts w:ascii="Times New Roman" w:hAnsi="Times New Roman"/>
          <w:color w:val="000000"/>
          <w:sz w:val="24"/>
        </w:rPr>
        <w:t>местное население</w:t>
      </w:r>
      <w:r>
        <w:rPr>
          <w:rFonts w:ascii="Times New Roman" w:hAnsi="Times New Roman"/>
          <w:color w:val="000000"/>
          <w:sz w:val="24"/>
        </w:rPr>
        <w:t xml:space="preserve"> больше </w:t>
      </w:r>
      <w:r w:rsidR="008C3362">
        <w:rPr>
          <w:rFonts w:ascii="Times New Roman" w:hAnsi="Times New Roman"/>
          <w:color w:val="000000"/>
          <w:sz w:val="24"/>
        </w:rPr>
        <w:t>сосредоточено</w:t>
      </w:r>
      <w:r w:rsidR="00767275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в районах с высоким уровнем дохода и среди домовладельцев. Таким образом, </w:t>
      </w:r>
      <w:r w:rsidR="0031117D">
        <w:rPr>
          <w:rFonts w:ascii="Times New Roman" w:hAnsi="Times New Roman"/>
          <w:color w:val="000000"/>
          <w:sz w:val="24"/>
        </w:rPr>
        <w:t>последовательная</w:t>
      </w:r>
      <w:r>
        <w:rPr>
          <w:rFonts w:ascii="Times New Roman" w:hAnsi="Times New Roman"/>
          <w:color w:val="000000"/>
          <w:sz w:val="24"/>
        </w:rPr>
        <w:t xml:space="preserve"> жилая интеграция мигрантов </w:t>
      </w:r>
      <w:r w:rsidR="00B746AA">
        <w:rPr>
          <w:rFonts w:ascii="Times New Roman" w:hAnsi="Times New Roman"/>
          <w:color w:val="000000"/>
          <w:sz w:val="24"/>
        </w:rPr>
        <w:t>опирается</w:t>
      </w:r>
      <w:r>
        <w:rPr>
          <w:rFonts w:ascii="Times New Roman" w:hAnsi="Times New Roman"/>
          <w:color w:val="000000"/>
          <w:sz w:val="24"/>
        </w:rPr>
        <w:t xml:space="preserve"> как </w:t>
      </w:r>
      <w:r w:rsidR="00B746AA"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color w:val="000000"/>
          <w:sz w:val="24"/>
        </w:rPr>
        <w:t xml:space="preserve"> переезд</w:t>
      </w:r>
      <w:r w:rsidR="00B746AA"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 в районы с более высоким уровнем доходов, так и </w:t>
      </w:r>
      <w:r w:rsidR="00B746AA"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B746AA">
        <w:rPr>
          <w:rFonts w:ascii="Times New Roman" w:hAnsi="Times New Roman"/>
          <w:color w:val="000000"/>
          <w:sz w:val="24"/>
        </w:rPr>
        <w:t>домо</w:t>
      </w:r>
      <w:r>
        <w:rPr>
          <w:rFonts w:ascii="Times New Roman" w:hAnsi="Times New Roman"/>
          <w:color w:val="000000"/>
          <w:sz w:val="24"/>
        </w:rPr>
        <w:t>владени</w:t>
      </w:r>
      <w:r w:rsidR="00B746AA"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. В этой статье мы стремимся понять, связаны ли переезд в более богатые районы и покупка собственного жилья, и, если нет, то что происходит в первую очередь — </w:t>
      </w:r>
      <w:r w:rsidR="00B746AA">
        <w:rPr>
          <w:rFonts w:ascii="Times New Roman" w:hAnsi="Times New Roman"/>
          <w:color w:val="000000"/>
          <w:sz w:val="24"/>
        </w:rPr>
        <w:t>смена</w:t>
      </w:r>
      <w:r>
        <w:rPr>
          <w:rFonts w:ascii="Times New Roman" w:hAnsi="Times New Roman"/>
          <w:color w:val="000000"/>
          <w:sz w:val="24"/>
        </w:rPr>
        <w:t xml:space="preserve"> района или приобретение недвижимости. Мы проведем сравнительное </w:t>
      </w:r>
      <w:r w:rsidR="008C3362">
        <w:rPr>
          <w:rFonts w:ascii="Times New Roman" w:hAnsi="Times New Roman"/>
          <w:color w:val="000000"/>
          <w:sz w:val="24"/>
        </w:rPr>
        <w:t xml:space="preserve">продолжительное </w:t>
      </w:r>
      <w:r>
        <w:rPr>
          <w:rFonts w:ascii="Times New Roman" w:hAnsi="Times New Roman"/>
          <w:color w:val="000000"/>
          <w:sz w:val="24"/>
        </w:rPr>
        <w:t>исследование в трех северных столицах — Хельсинки, Осло и Стокгольм</w:t>
      </w:r>
      <w:r w:rsidR="00B746AA"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, — чтобы понять модели изменения места жительства вновь прибывших иммигрантов, разделенных на три группы на основе классификации Всемирного банка 2010 и на членстве в ЕС. </w:t>
      </w:r>
      <w:r w:rsidR="002A6CAA">
        <w:rPr>
          <w:rFonts w:ascii="Times New Roman" w:hAnsi="Times New Roman"/>
          <w:color w:val="000000"/>
          <w:sz w:val="24"/>
        </w:rPr>
        <w:t>Р</w:t>
      </w:r>
      <w:r w:rsidR="008C3362">
        <w:rPr>
          <w:rFonts w:ascii="Times New Roman" w:hAnsi="Times New Roman"/>
          <w:color w:val="000000"/>
          <w:sz w:val="24"/>
        </w:rPr>
        <w:t>ассматрив</w:t>
      </w:r>
      <w:r w:rsidR="002A6CAA">
        <w:rPr>
          <w:rFonts w:ascii="Times New Roman" w:hAnsi="Times New Roman"/>
          <w:color w:val="000000"/>
          <w:sz w:val="24"/>
        </w:rPr>
        <w:t>аются</w:t>
      </w:r>
      <w:r w:rsidR="008C3362">
        <w:rPr>
          <w:rFonts w:ascii="Times New Roman" w:hAnsi="Times New Roman"/>
          <w:color w:val="000000"/>
          <w:sz w:val="24"/>
        </w:rPr>
        <w:t xml:space="preserve"> </w:t>
      </w:r>
      <w:r w:rsidR="002A6CAA">
        <w:rPr>
          <w:rFonts w:ascii="Times New Roman" w:hAnsi="Times New Roman"/>
          <w:color w:val="000000"/>
          <w:sz w:val="24"/>
        </w:rPr>
        <w:t xml:space="preserve">три </w:t>
      </w:r>
      <w:r>
        <w:rPr>
          <w:rFonts w:ascii="Times New Roman" w:hAnsi="Times New Roman"/>
          <w:color w:val="000000"/>
          <w:sz w:val="24"/>
        </w:rPr>
        <w:t>следующие группы: (1) относящиеся к категории низкого уровня дохода, уровня ниже среднего или уровня выше среднего (за исключением стран ЕС); (2) последние государства-члены ЕС с 2004 года (Восточная Европа) и (3) страны с высоким уровнем дохода. Исследование проводилось в 2011–2017</w:t>
      </w:r>
      <w:r w:rsidR="002A6CAA">
        <w:rPr>
          <w:rFonts w:ascii="Times New Roman" w:hAnsi="Times New Roman"/>
          <w:color w:val="000000"/>
          <w:sz w:val="24"/>
        </w:rPr>
        <w:t> </w:t>
      </w:r>
      <w:r w:rsidR="00281FB1">
        <w:rPr>
          <w:rFonts w:ascii="Times New Roman" w:hAnsi="Times New Roman"/>
          <w:color w:val="000000"/>
          <w:sz w:val="24"/>
        </w:rPr>
        <w:t>гг.</w:t>
      </w:r>
      <w:r>
        <w:rPr>
          <w:rFonts w:ascii="Times New Roman" w:hAnsi="Times New Roman"/>
          <w:color w:val="000000"/>
          <w:sz w:val="24"/>
        </w:rPr>
        <w:t xml:space="preserve"> из-за наличия и сопоставимости данных в трех странах. Данные анализируются статистическими методами с помощью </w:t>
      </w:r>
      <w:proofErr w:type="spellStart"/>
      <w:r>
        <w:rPr>
          <w:rFonts w:ascii="Times New Roman" w:hAnsi="Times New Roman"/>
          <w:color w:val="000000"/>
          <w:sz w:val="24"/>
        </w:rPr>
        <w:t>мультиномиальной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логистической регрессии для сравнения смены первого жилья и/или района по исходным группам, чтобы увидеть переход от аренды жилья к владению жильем и направление </w:t>
      </w:r>
      <w:r w:rsidR="00281FB1">
        <w:rPr>
          <w:rFonts w:ascii="Times New Roman" w:hAnsi="Times New Roman"/>
          <w:color w:val="000000"/>
          <w:sz w:val="24"/>
        </w:rPr>
        <w:t>смены</w:t>
      </w:r>
      <w:r>
        <w:rPr>
          <w:rFonts w:ascii="Times New Roman" w:hAnsi="Times New Roman"/>
          <w:color w:val="000000"/>
          <w:sz w:val="24"/>
        </w:rPr>
        <w:t xml:space="preserve"> районов от беднейшего района к лучшему (от третьего к богатейшему) </w:t>
      </w:r>
      <w:proofErr w:type="spellStart"/>
      <w:r>
        <w:rPr>
          <w:rFonts w:ascii="Times New Roman" w:hAnsi="Times New Roman"/>
          <w:color w:val="000000"/>
          <w:sz w:val="24"/>
        </w:rPr>
        <w:t>квинтилю</w:t>
      </w:r>
      <w:proofErr w:type="spellEnd"/>
      <w:r>
        <w:rPr>
          <w:rFonts w:ascii="Times New Roman" w:hAnsi="Times New Roman"/>
          <w:color w:val="000000"/>
          <w:sz w:val="24"/>
        </w:rPr>
        <w:t>. Результаты показывают, что различные группы иммигрантов имеют разные стратегии с точки зрения типа жилья и смены районов, а также различных стран.</w:t>
      </w:r>
      <w:r>
        <w:rPr>
          <w:rFonts w:ascii="Times New Roman" w:hAnsi="Times New Roman"/>
          <w:color w:val="000000"/>
        </w:rPr>
        <w:t> </w:t>
      </w:r>
    </w:p>
    <w:p w14:paraId="0BC795E6" w14:textId="77777777" w:rsidR="00960D52" w:rsidRPr="0031117D" w:rsidRDefault="00960D52">
      <w:pPr>
        <w:rPr>
          <w:lang w:val="et-EE"/>
        </w:rPr>
      </w:pPr>
    </w:p>
    <w:sectPr w:rsidR="00960D52" w:rsidRPr="003111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DB"/>
    <w:rsid w:val="00051905"/>
    <w:rsid w:val="00097E11"/>
    <w:rsid w:val="0013186C"/>
    <w:rsid w:val="001A1E1E"/>
    <w:rsid w:val="00281FB1"/>
    <w:rsid w:val="002A6CAA"/>
    <w:rsid w:val="002C1385"/>
    <w:rsid w:val="0031117D"/>
    <w:rsid w:val="004205F2"/>
    <w:rsid w:val="006975DB"/>
    <w:rsid w:val="00767275"/>
    <w:rsid w:val="00783A4A"/>
    <w:rsid w:val="008C3362"/>
    <w:rsid w:val="00960D52"/>
    <w:rsid w:val="00B44CAD"/>
    <w:rsid w:val="00B746AA"/>
    <w:rsid w:val="00D5226F"/>
    <w:rsid w:val="00E94D80"/>
    <w:rsid w:val="00E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52D0"/>
  <w15:chartTrackingRefBased/>
  <w15:docId w15:val="{100EC1F0-636C-4B87-8465-02295D08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5DB"/>
    <w:pPr>
      <w:spacing w:after="0" w:line="240" w:lineRule="auto"/>
    </w:pPr>
    <w:rPr>
      <w:rFonts w:ascii="Calibri" w:hAnsi="Calibri" w:cs="Calibri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83A4A"/>
    <w:pPr>
      <w:spacing w:after="0" w:line="240" w:lineRule="auto"/>
    </w:pPr>
    <w:rPr>
      <w:rFonts w:ascii="Calibri" w:hAnsi="Calibri" w:cs="Calibri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4</cp:revision>
  <dcterms:created xsi:type="dcterms:W3CDTF">2022-08-31T08:15:00Z</dcterms:created>
  <dcterms:modified xsi:type="dcterms:W3CDTF">2022-09-01T07:36:00Z</dcterms:modified>
</cp:coreProperties>
</file>